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98" w:rsidRDefault="001F5998" w:rsidP="001F5998">
      <w:pPr>
        <w:spacing w:before="100" w:beforeAutospacing="1" w:after="100" w:afterAutospacing="1"/>
        <w:outlineLvl w:val="0"/>
        <w:rPr>
          <w:b/>
          <w:bCs/>
          <w:kern w:val="36"/>
          <w:sz w:val="48"/>
          <w:szCs w:val="48"/>
        </w:rPr>
      </w:pPr>
      <w:r w:rsidRPr="001F5998">
        <w:rPr>
          <w:b/>
          <w:bCs/>
          <w:kern w:val="36"/>
          <w:sz w:val="48"/>
          <w:szCs w:val="48"/>
        </w:rPr>
        <w:t>Appendix C. Scientific Data Used to Develop the Framework</w:t>
      </w:r>
    </w:p>
    <w:p w:rsidR="009E2866" w:rsidRPr="001F5998" w:rsidRDefault="009E2866" w:rsidP="001F5998">
      <w:pPr>
        <w:spacing w:before="100" w:beforeAutospacing="1" w:after="100" w:afterAutospacing="1"/>
        <w:outlineLvl w:val="0"/>
        <w:rPr>
          <w:b/>
          <w:bCs/>
          <w:kern w:val="36"/>
          <w:sz w:val="48"/>
          <w:szCs w:val="48"/>
        </w:rPr>
      </w:pPr>
      <w:r w:rsidRPr="009E2866">
        <w:rPr>
          <w:b/>
          <w:bCs/>
          <w:kern w:val="36"/>
          <w:sz w:val="48"/>
          <w:szCs w:val="48"/>
        </w:rPr>
        <w:t>http://www.fda.gov/Food/ScienceResearch/ResearchAreas/SafePracticesforFoodProcesses/ucm094192.htm</w:t>
      </w:r>
    </w:p>
    <w:p w:rsidR="001F5998" w:rsidRPr="001F5998" w:rsidRDefault="001F5998" w:rsidP="001F5998">
      <w:pPr>
        <w:spacing w:before="100" w:beforeAutospacing="1" w:after="100" w:afterAutospacing="1"/>
        <w:outlineLvl w:val="1"/>
        <w:rPr>
          <w:b/>
          <w:bCs/>
          <w:sz w:val="36"/>
          <w:szCs w:val="36"/>
        </w:rPr>
      </w:pPr>
      <w:r w:rsidRPr="001F5998">
        <w:rPr>
          <w:b/>
          <w:bCs/>
          <w:sz w:val="36"/>
          <w:szCs w:val="36"/>
        </w:rPr>
        <w:t>Evaluation and Definition of Potentially Hazardous Foods</w:t>
      </w:r>
      <w:bookmarkStart w:id="0" w:name="_GoBack"/>
      <w:bookmarkEnd w:id="0"/>
    </w:p>
    <w:p w:rsidR="001F5998" w:rsidRPr="001F5998" w:rsidRDefault="001F5998" w:rsidP="001F5998">
      <w:pPr>
        <w:spacing w:before="100" w:beforeAutospacing="1" w:after="100" w:afterAutospacing="1"/>
        <w:outlineLvl w:val="1"/>
        <w:rPr>
          <w:b/>
          <w:bCs/>
          <w:sz w:val="36"/>
          <w:szCs w:val="36"/>
        </w:rPr>
      </w:pPr>
      <w:r w:rsidRPr="001F5998">
        <w:rPr>
          <w:b/>
          <w:bCs/>
          <w:sz w:val="36"/>
          <w:szCs w:val="36"/>
        </w:rPr>
        <w:t>1. Determination of pH and water activity limits for TCS foods</w:t>
      </w:r>
    </w:p>
    <w:p w:rsidR="001F5998" w:rsidRPr="001F5998" w:rsidRDefault="001F5998" w:rsidP="001F5998">
      <w:pPr>
        <w:spacing w:before="100" w:beforeAutospacing="1" w:after="100" w:afterAutospacing="1"/>
      </w:pPr>
      <w:r w:rsidRPr="001F5998">
        <w:t xml:space="preserve">To determine pH and water activity limits for TCS foods, as they are presented in the framework (see Chapter 8) the panel used data from the literature and from the results of the survey (see appendix B). Data for products with identified preservative systems were not included to assure that conservative data were used to determine limits. Professional </w:t>
      </w:r>
      <w:proofErr w:type="spellStart"/>
      <w:r w:rsidRPr="001F5998">
        <w:t>judgement</w:t>
      </w:r>
      <w:proofErr w:type="spellEnd"/>
      <w:r w:rsidRPr="001F5998">
        <w:t xml:space="preserve"> of the panel was used to omit unrealistic data. For example, studies using artificially high inoculum levels in laboratory media with no competitive </w:t>
      </w:r>
      <w:proofErr w:type="spellStart"/>
      <w:r w:rsidRPr="001F5998">
        <w:t>microflora</w:t>
      </w:r>
      <w:proofErr w:type="spellEnd"/>
      <w:r w:rsidRPr="001F5998">
        <w:t xml:space="preserve">, using mild humectants (for example, glycerol) or </w:t>
      </w:r>
      <w:proofErr w:type="spellStart"/>
      <w:r w:rsidRPr="001F5998">
        <w:t>acidulants</w:t>
      </w:r>
      <w:proofErr w:type="spellEnd"/>
      <w:r w:rsidRPr="001F5998">
        <w:t xml:space="preserve"> (for example, </w:t>
      </w:r>
      <w:proofErr w:type="spellStart"/>
      <w:r w:rsidRPr="001F5998">
        <w:t>HCl</w:t>
      </w:r>
      <w:proofErr w:type="spellEnd"/>
      <w:r w:rsidRPr="001F5998">
        <w:t>) were not used if results varied significantly with substantial data in food systems.</w:t>
      </w:r>
    </w:p>
    <w:p w:rsidR="001F5998" w:rsidRPr="001F5998" w:rsidRDefault="001F5998" w:rsidP="001F5998">
      <w:pPr>
        <w:spacing w:before="100" w:beforeAutospacing="1" w:after="100" w:afterAutospacing="1"/>
      </w:pPr>
      <w:r w:rsidRPr="001F5998">
        <w:t>While numerous studies have been done on growth of foodborne pathogens, many studies do not report the pH and water activity of the growth medium. As a result, only limited data are available to study the interaction of pH and a</w:t>
      </w:r>
      <w:r w:rsidRPr="001F5998">
        <w:rPr>
          <w:vertAlign w:val="subscript"/>
        </w:rPr>
        <w:t>w</w:t>
      </w:r>
      <w:r w:rsidRPr="001F5998">
        <w:t xml:space="preserve"> on the growth of foodborne pathogens. </w:t>
      </w:r>
      <w:r w:rsidRPr="001F5998">
        <w:rPr>
          <w:b/>
          <w:bCs/>
        </w:rPr>
        <w:t>The panel strongly encourages researchers to include pH and water activity data in scientific publications to assist the incorporation of data into analyses such as the one being performed here.</w:t>
      </w:r>
    </w:p>
    <w:p w:rsidR="001F5998" w:rsidRPr="001F5998" w:rsidRDefault="001F5998" w:rsidP="001F5998">
      <w:pPr>
        <w:spacing w:before="100" w:beforeAutospacing="1" w:after="100" w:afterAutospacing="1"/>
        <w:outlineLvl w:val="2"/>
        <w:rPr>
          <w:b/>
          <w:bCs/>
          <w:sz w:val="27"/>
          <w:szCs w:val="27"/>
        </w:rPr>
      </w:pPr>
      <w:r w:rsidRPr="001F5998">
        <w:rPr>
          <w:b/>
          <w:bCs/>
          <w:sz w:val="27"/>
          <w:szCs w:val="27"/>
        </w:rPr>
        <w:t>1.1. Spores</w:t>
      </w:r>
    </w:p>
    <w:p w:rsidR="001F5998" w:rsidRPr="001F5998" w:rsidRDefault="001F5998" w:rsidP="001F5998">
      <w:pPr>
        <w:spacing w:before="100" w:beforeAutospacing="1" w:after="100" w:afterAutospacing="1"/>
      </w:pPr>
      <w:r w:rsidRPr="001F5998">
        <w:t xml:space="preserve">Data on water activity and pH interaction effects on growth or toxin production of foodborne pathogenic </w:t>
      </w:r>
      <w:proofErr w:type="spellStart"/>
      <w:r w:rsidRPr="001F5998">
        <w:t>sporeformers</w:t>
      </w:r>
      <w:proofErr w:type="spellEnd"/>
      <w:r w:rsidRPr="001F5998">
        <w:t xml:space="preserve"> are illustrated below. The lines indicate the parameter limits that the panel considered to develop the framework.</w:t>
      </w:r>
    </w:p>
    <w:p w:rsidR="001F5998" w:rsidRPr="001F5998" w:rsidRDefault="001F5998" w:rsidP="001F5998">
      <w:r>
        <w:rPr>
          <w:noProof/>
        </w:rPr>
        <w:lastRenderedPageBreak/>
        <w:drawing>
          <wp:inline distT="0" distB="0" distL="0" distR="0">
            <wp:extent cx="4552950" cy="3438525"/>
            <wp:effectExtent l="0" t="0" r="0" b="9525"/>
            <wp:docPr id="2" name="Picture 2" descr="Spore Growth or Toxin 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e Growth or Toxin Produ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2950" cy="3438525"/>
                    </a:xfrm>
                    <a:prstGeom prst="rect">
                      <a:avLst/>
                    </a:prstGeom>
                    <a:noFill/>
                    <a:ln>
                      <a:noFill/>
                    </a:ln>
                  </pic:spPr>
                </pic:pic>
              </a:graphicData>
            </a:graphic>
          </wp:inline>
        </w:drawing>
      </w:r>
    </w:p>
    <w:p w:rsidR="001F5998" w:rsidRPr="001F5998" w:rsidRDefault="001F5998" w:rsidP="001F5998">
      <w:pPr>
        <w:spacing w:before="100" w:beforeAutospacing="1" w:after="100" w:afterAutospacing="1"/>
      </w:pPr>
      <w:r w:rsidRPr="001F5998">
        <w:br w:type="textWrapping" w:clear="all"/>
      </w:r>
    </w:p>
    <w:p w:rsidR="001F5998" w:rsidRPr="001F5998" w:rsidRDefault="001F5998" w:rsidP="001F5998">
      <w:pPr>
        <w:spacing w:before="100" w:beforeAutospacing="1" w:after="100" w:afterAutospacing="1"/>
      </w:pPr>
      <w:r w:rsidRPr="001F5998">
        <w:t xml:space="preserve">For foods that are treated to inactivate vegetative foodborne pathogens, the panel concluded that the following parameters effectively control the growth of </w:t>
      </w:r>
      <w:proofErr w:type="spellStart"/>
      <w:r w:rsidRPr="001F5998">
        <w:t>sporeforming</w:t>
      </w:r>
      <w:proofErr w:type="spellEnd"/>
      <w:r w:rsidRPr="001F5998">
        <w:t xml:space="preserve"> foodborne pathogens:</w:t>
      </w:r>
    </w:p>
    <w:p w:rsidR="001F5998" w:rsidRPr="001F5998" w:rsidRDefault="001F5998" w:rsidP="001F5998">
      <w:pPr>
        <w:numPr>
          <w:ilvl w:val="0"/>
          <w:numId w:val="1"/>
        </w:numPr>
        <w:spacing w:before="100" w:beforeAutospacing="1" w:after="100" w:afterAutospacing="1"/>
      </w:pPr>
      <w:r w:rsidRPr="001F5998">
        <w:t xml:space="preserve">pH = 4.6, or </w:t>
      </w:r>
    </w:p>
    <w:p w:rsidR="001F5998" w:rsidRPr="001F5998" w:rsidRDefault="001F5998" w:rsidP="001F5998">
      <w:pPr>
        <w:numPr>
          <w:ilvl w:val="0"/>
          <w:numId w:val="1"/>
        </w:numPr>
        <w:spacing w:before="100" w:beforeAutospacing="1" w:after="100" w:afterAutospacing="1"/>
      </w:pPr>
      <w:proofErr w:type="spellStart"/>
      <w:r w:rsidRPr="001F5998">
        <w:t>a</w:t>
      </w:r>
      <w:r w:rsidRPr="001F5998">
        <w:rPr>
          <w:vertAlign w:val="subscript"/>
        </w:rPr>
        <w:t>W</w:t>
      </w:r>
      <w:proofErr w:type="spellEnd"/>
      <w:r w:rsidRPr="001F5998">
        <w:t xml:space="preserve"> = 0.92, or </w:t>
      </w:r>
    </w:p>
    <w:p w:rsidR="001F5998" w:rsidRPr="001F5998" w:rsidRDefault="001F5998" w:rsidP="001F5998">
      <w:pPr>
        <w:numPr>
          <w:ilvl w:val="0"/>
          <w:numId w:val="1"/>
        </w:numPr>
        <w:spacing w:before="100" w:beforeAutospacing="1" w:after="100" w:afterAutospacing="1"/>
      </w:pPr>
      <w:r w:rsidRPr="001F5998">
        <w:t xml:space="preserve">pH = 5.6 and </w:t>
      </w:r>
      <w:proofErr w:type="spellStart"/>
      <w:r w:rsidRPr="001F5998">
        <w:t>a</w:t>
      </w:r>
      <w:r w:rsidRPr="001F5998">
        <w:rPr>
          <w:vertAlign w:val="subscript"/>
        </w:rPr>
        <w:t>W</w:t>
      </w:r>
      <w:proofErr w:type="spellEnd"/>
      <w:r w:rsidRPr="001F5998">
        <w:t xml:space="preserve"> = 0.95 </w:t>
      </w:r>
    </w:p>
    <w:p w:rsidR="001F5998" w:rsidRPr="001F5998" w:rsidRDefault="001F5998" w:rsidP="001F5998">
      <w:pPr>
        <w:spacing w:before="100" w:beforeAutospacing="1" w:after="100" w:afterAutospacing="1"/>
      </w:pPr>
      <w:r w:rsidRPr="001F5998">
        <w:t xml:space="preserve">The panel believes that these parameters are conservative since numerous studies demonstrated lack of growth and/or toxin production above these levels. Products that fall in the non-TCS area should be considered in a "safe-harbor" that does not require time/temperature control. Products that fall in the potential TCS region may be stable depending on shelf life expectations, presence of preservatives, temperature, and other factors affecting growth (see Chapter 3). Challenge studies may be performed for foods in the high pH and </w:t>
      </w:r>
      <w:proofErr w:type="spellStart"/>
      <w:r w:rsidRPr="001F5998">
        <w:t>a</w:t>
      </w:r>
      <w:r w:rsidRPr="001F5998">
        <w:rPr>
          <w:vertAlign w:val="subscript"/>
        </w:rPr>
        <w:t>W</w:t>
      </w:r>
      <w:proofErr w:type="spellEnd"/>
      <w:r w:rsidRPr="001F5998">
        <w:t xml:space="preserve"> ranges and/or for those foods with extended shelf life expectations.</w:t>
      </w:r>
    </w:p>
    <w:p w:rsidR="001F5998" w:rsidRPr="001F5998" w:rsidRDefault="001F5998" w:rsidP="001F5998">
      <w:pPr>
        <w:spacing w:before="100" w:beforeAutospacing="1" w:after="100" w:afterAutospacing="1"/>
      </w:pPr>
      <w:r w:rsidRPr="001F5998">
        <w:t xml:space="preserve">An equation to fit the data could also be used to identify pH and </w:t>
      </w:r>
      <w:proofErr w:type="spellStart"/>
      <w:r w:rsidRPr="001F5998">
        <w:t>a</w:t>
      </w:r>
      <w:r w:rsidRPr="001F5998">
        <w:rPr>
          <w:vertAlign w:val="subscript"/>
        </w:rPr>
        <w:t>W</w:t>
      </w:r>
      <w:proofErr w:type="spellEnd"/>
      <w:r w:rsidRPr="001F5998">
        <w:rPr>
          <w:vertAlign w:val="subscript"/>
        </w:rPr>
        <w:t xml:space="preserve"> </w:t>
      </w:r>
      <w:r w:rsidRPr="001F5998">
        <w:t xml:space="preserve">combinations that would inhibit </w:t>
      </w:r>
      <w:proofErr w:type="spellStart"/>
      <w:r w:rsidRPr="001F5998">
        <w:t>sporeforming</w:t>
      </w:r>
      <w:proofErr w:type="spellEnd"/>
      <w:r w:rsidRPr="001F5998">
        <w:t xml:space="preserve"> pathogen growth; however, panel members believe that this would be more difficult to implement and/or communicate to non-technical users of the information.</w:t>
      </w:r>
    </w:p>
    <w:p w:rsidR="001F5998" w:rsidRPr="001F5998" w:rsidRDefault="001F5998" w:rsidP="001F5998">
      <w:pPr>
        <w:spacing w:before="100" w:beforeAutospacing="1" w:after="100" w:afterAutospacing="1"/>
        <w:outlineLvl w:val="2"/>
        <w:rPr>
          <w:b/>
          <w:bCs/>
          <w:sz w:val="27"/>
          <w:szCs w:val="27"/>
        </w:rPr>
      </w:pPr>
      <w:r w:rsidRPr="001F5998">
        <w:rPr>
          <w:b/>
          <w:bCs/>
          <w:sz w:val="27"/>
          <w:szCs w:val="27"/>
        </w:rPr>
        <w:t>1.2. Vegetative cells</w:t>
      </w:r>
    </w:p>
    <w:p w:rsidR="001F5998" w:rsidRPr="001F5998" w:rsidRDefault="001F5998" w:rsidP="001F5998">
      <w:pPr>
        <w:spacing w:before="100" w:beforeAutospacing="1" w:after="100" w:afterAutospacing="1"/>
      </w:pPr>
      <w:r w:rsidRPr="001F5998">
        <w:lastRenderedPageBreak/>
        <w:t xml:space="preserve">Literature data on interaction of pH and water activity on control of vegetative pathogens is more limited than that for spore-formers. Published studies and modeling programs generally use broth media or foods with high </w:t>
      </w:r>
      <w:proofErr w:type="spellStart"/>
      <w:r w:rsidRPr="001F5998">
        <w:t>a</w:t>
      </w:r>
      <w:r w:rsidRPr="001F5998">
        <w:rPr>
          <w:vertAlign w:val="subscript"/>
        </w:rPr>
        <w:t>W</w:t>
      </w:r>
      <w:proofErr w:type="spellEnd"/>
      <w:r w:rsidRPr="001F5998">
        <w:t xml:space="preserve"> that are not near the minimum for growth. Studies conducted for short shelf life products are relevant to foodservice operators who are primarily interested in the potential for pathogen growth in hours or a few days; however, these studies may not be applicable to extended shelf life products.</w:t>
      </w:r>
    </w:p>
    <w:p w:rsidR="001F5998" w:rsidRPr="001F5998" w:rsidRDefault="001F5998" w:rsidP="001F5998">
      <w:pPr>
        <w:spacing w:before="100" w:beforeAutospacing="1" w:after="100" w:afterAutospacing="1"/>
      </w:pPr>
      <w:r w:rsidRPr="001F5998">
        <w:t xml:space="preserve">The following data were considered in developing the framework for vegetative pathogen control, in addition to the minimum pH and </w:t>
      </w:r>
      <w:proofErr w:type="spellStart"/>
      <w:r w:rsidRPr="001F5998">
        <w:t>a</w:t>
      </w:r>
      <w:r w:rsidRPr="001F5998">
        <w:rPr>
          <w:vertAlign w:val="subscript"/>
        </w:rPr>
        <w:t>W</w:t>
      </w:r>
      <w:proofErr w:type="spellEnd"/>
      <w:r w:rsidRPr="001F5998">
        <w:t xml:space="preserve"> values for vegetative pathogen growth (see Chapter 3). However, the panel believes that intended shelf life must be considered in addition to pH and </w:t>
      </w:r>
      <w:proofErr w:type="spellStart"/>
      <w:r w:rsidRPr="001F5998">
        <w:t>a</w:t>
      </w:r>
      <w:r w:rsidRPr="001F5998">
        <w:rPr>
          <w:vertAlign w:val="subscript"/>
        </w:rPr>
        <w:t>W</w:t>
      </w:r>
      <w:proofErr w:type="spellEnd"/>
      <w:r w:rsidRPr="001F5998">
        <w:t xml:space="preserve"> in determining the need for time/temperature control. The lines indicate the parameter limits that the panel considered to develop the framework.</w:t>
      </w:r>
    </w:p>
    <w:p w:rsidR="001F5998" w:rsidRPr="001F5998" w:rsidRDefault="001F5998" w:rsidP="001F5998">
      <w:pPr>
        <w:spacing w:before="100" w:beforeAutospacing="1" w:after="100" w:afterAutospacing="1"/>
      </w:pPr>
      <w:r w:rsidRPr="001F5998">
        <w:br w:type="textWrapping" w:clear="all"/>
      </w:r>
    </w:p>
    <w:p w:rsidR="001F5998" w:rsidRPr="001F5998" w:rsidRDefault="001F5998" w:rsidP="001F5998">
      <w:r>
        <w:rPr>
          <w:noProof/>
        </w:rPr>
        <w:drawing>
          <wp:inline distT="0" distB="0" distL="0" distR="0">
            <wp:extent cx="4552950" cy="2705100"/>
            <wp:effectExtent l="0" t="0" r="0" b="0"/>
            <wp:docPr id="1" name="Picture 1" descr="Cell Growth or Toxin 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l Growth or Toxin Produ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0" cy="2705100"/>
                    </a:xfrm>
                    <a:prstGeom prst="rect">
                      <a:avLst/>
                    </a:prstGeom>
                    <a:noFill/>
                    <a:ln>
                      <a:noFill/>
                    </a:ln>
                  </pic:spPr>
                </pic:pic>
              </a:graphicData>
            </a:graphic>
          </wp:inline>
        </w:drawing>
      </w:r>
    </w:p>
    <w:p w:rsidR="001F5998" w:rsidRPr="001F5998" w:rsidRDefault="001F5998" w:rsidP="001F5998">
      <w:pPr>
        <w:spacing w:before="100" w:beforeAutospacing="1" w:after="100" w:afterAutospacing="1"/>
      </w:pPr>
    </w:p>
    <w:p w:rsidR="001F5998" w:rsidRPr="001F5998" w:rsidRDefault="001F5998" w:rsidP="001F5998">
      <w:r w:rsidRPr="001F5998">
        <w:pict>
          <v:rect id="_x0000_i1027" style="width:0;height:1.5pt" o:hralign="center" o:hrstd="t" o:hr="t" fillcolor="#a0a0a0" stroked="f"/>
        </w:pict>
      </w:r>
    </w:p>
    <w:p w:rsidR="001F5998" w:rsidRPr="001F5998" w:rsidRDefault="001F5998" w:rsidP="001F5998">
      <w:pPr>
        <w:spacing w:before="100" w:beforeAutospacing="1" w:after="100" w:afterAutospacing="1"/>
      </w:pPr>
    </w:p>
    <w:p w:rsidR="001F5998" w:rsidRPr="001F5998" w:rsidRDefault="001F5998" w:rsidP="001F5998">
      <w:pPr>
        <w:spacing w:before="100" w:beforeAutospacing="1" w:after="100" w:afterAutospacing="1"/>
        <w:outlineLvl w:val="1"/>
        <w:rPr>
          <w:b/>
          <w:bCs/>
          <w:sz w:val="36"/>
          <w:szCs w:val="36"/>
        </w:rPr>
      </w:pPr>
      <w:r w:rsidRPr="001F5998">
        <w:rPr>
          <w:b/>
          <w:bCs/>
          <w:sz w:val="36"/>
          <w:szCs w:val="36"/>
        </w:rPr>
        <w:t>References</w:t>
      </w:r>
    </w:p>
    <w:p w:rsidR="001F5998" w:rsidRPr="001F5998" w:rsidRDefault="001F5998" w:rsidP="001F5998">
      <w:pPr>
        <w:spacing w:before="100" w:beforeAutospacing="1" w:after="100" w:afterAutospacing="1"/>
      </w:pPr>
      <w:proofErr w:type="spellStart"/>
      <w:r w:rsidRPr="001F5998">
        <w:t>Asplund</w:t>
      </w:r>
      <w:proofErr w:type="spellEnd"/>
      <w:r w:rsidRPr="001F5998">
        <w:t xml:space="preserve"> K, </w:t>
      </w:r>
      <w:proofErr w:type="spellStart"/>
      <w:r w:rsidRPr="001F5998">
        <w:t>Nurmi</w:t>
      </w:r>
      <w:proofErr w:type="spellEnd"/>
      <w:r w:rsidRPr="001F5998">
        <w:t xml:space="preserve"> E. 1991. </w:t>
      </w:r>
      <w:proofErr w:type="gramStart"/>
      <w:r w:rsidRPr="001F5998">
        <w:t>The growth of salmonella in tomatoes.</w:t>
      </w:r>
      <w:proofErr w:type="gramEnd"/>
      <w:r w:rsidRPr="001F5998">
        <w:t xml:space="preserve"> </w:t>
      </w:r>
      <w:proofErr w:type="spellStart"/>
      <w:r w:rsidRPr="001F5998">
        <w:t>Int</w:t>
      </w:r>
      <w:proofErr w:type="spellEnd"/>
      <w:r w:rsidRPr="001F5998">
        <w:t xml:space="preserve"> J Food </w:t>
      </w:r>
      <w:proofErr w:type="spellStart"/>
      <w:r w:rsidRPr="001F5998">
        <w:t>Microbiol</w:t>
      </w:r>
      <w:proofErr w:type="spellEnd"/>
      <w:r w:rsidRPr="001F5998">
        <w:t xml:space="preserve"> 13:177-82.</w:t>
      </w:r>
    </w:p>
    <w:p w:rsidR="001F5998" w:rsidRPr="001F5998" w:rsidRDefault="001F5998" w:rsidP="001F5998">
      <w:pPr>
        <w:spacing w:before="100" w:beforeAutospacing="1" w:after="100" w:afterAutospacing="1"/>
      </w:pPr>
      <w:r w:rsidRPr="001F5998">
        <w:t xml:space="preserve">Baird-Parker TC. 1990. The staphylococci--an introduction. J </w:t>
      </w:r>
      <w:proofErr w:type="spellStart"/>
      <w:r w:rsidRPr="001F5998">
        <w:t>Appl</w:t>
      </w:r>
      <w:proofErr w:type="spellEnd"/>
      <w:r w:rsidRPr="001F5998">
        <w:t xml:space="preserve"> </w:t>
      </w:r>
      <w:proofErr w:type="spellStart"/>
      <w:r w:rsidRPr="001F5998">
        <w:t>Bacteriol</w:t>
      </w:r>
      <w:proofErr w:type="spellEnd"/>
      <w:r w:rsidRPr="001F5998">
        <w:t xml:space="preserve"> Symposium Suppl</w:t>
      </w:r>
      <w:proofErr w:type="gramStart"/>
      <w:r w:rsidRPr="001F5998">
        <w:t>:1S</w:t>
      </w:r>
      <w:proofErr w:type="gramEnd"/>
      <w:r w:rsidRPr="001F5998">
        <w:t>-8S. (</w:t>
      </w:r>
      <w:proofErr w:type="gramStart"/>
      <w:r w:rsidRPr="001F5998">
        <w:t>cited</w:t>
      </w:r>
      <w:proofErr w:type="gramEnd"/>
      <w:r w:rsidRPr="001F5998">
        <w:t xml:space="preserve"> in ICMSF 1996a).</w:t>
      </w:r>
    </w:p>
    <w:p w:rsidR="001F5998" w:rsidRPr="001F5998" w:rsidRDefault="001F5998" w:rsidP="001F5998">
      <w:pPr>
        <w:spacing w:before="100" w:beforeAutospacing="1" w:after="100" w:afterAutospacing="1"/>
      </w:pPr>
      <w:proofErr w:type="spellStart"/>
      <w:r w:rsidRPr="001F5998">
        <w:lastRenderedPageBreak/>
        <w:t>Barbut</w:t>
      </w:r>
      <w:proofErr w:type="spellEnd"/>
      <w:r w:rsidRPr="001F5998">
        <w:t xml:space="preserve"> S, Tanaka N, Maurer AJ. 1986. Effects of varying levels of chloride salts on </w:t>
      </w:r>
      <w:r w:rsidRPr="001F5998">
        <w:rPr>
          <w:i/>
          <w:iCs/>
        </w:rPr>
        <w:t xml:space="preserve">Clostridium </w:t>
      </w:r>
      <w:proofErr w:type="spellStart"/>
      <w:r w:rsidRPr="001F5998">
        <w:rPr>
          <w:i/>
          <w:iCs/>
        </w:rPr>
        <w:t>botulinum</w:t>
      </w:r>
      <w:proofErr w:type="spellEnd"/>
      <w:r w:rsidRPr="001F5998">
        <w:t xml:space="preserve"> toxin production in turkey frankfurters. J Food </w:t>
      </w:r>
      <w:proofErr w:type="spellStart"/>
      <w:r w:rsidRPr="001F5998">
        <w:t>Sci</w:t>
      </w:r>
      <w:proofErr w:type="spellEnd"/>
      <w:r w:rsidRPr="001F5998">
        <w:t xml:space="preserve"> 51:1129-31. (</w:t>
      </w:r>
      <w:proofErr w:type="gramStart"/>
      <w:r w:rsidRPr="001F5998">
        <w:t>cited</w:t>
      </w:r>
      <w:proofErr w:type="gramEnd"/>
      <w:r w:rsidRPr="001F5998">
        <w:t xml:space="preserve"> in ICMSF 1996a).</w:t>
      </w:r>
    </w:p>
    <w:p w:rsidR="001F5998" w:rsidRPr="001F5998" w:rsidRDefault="001F5998" w:rsidP="001F5998">
      <w:pPr>
        <w:spacing w:before="100" w:beforeAutospacing="1" w:after="100" w:afterAutospacing="1"/>
      </w:pPr>
      <w:proofErr w:type="spellStart"/>
      <w:proofErr w:type="gramStart"/>
      <w:r w:rsidRPr="001F5998">
        <w:t>Bartsch</w:t>
      </w:r>
      <w:proofErr w:type="spellEnd"/>
      <w:r w:rsidRPr="001F5998">
        <w:t xml:space="preserve"> AG, Walker HW.</w:t>
      </w:r>
      <w:proofErr w:type="gramEnd"/>
      <w:r w:rsidRPr="001F5998">
        <w:t xml:space="preserve"> 1982. Effect of temperature, solute and pH on the tolerance of </w:t>
      </w:r>
      <w:r w:rsidRPr="001F5998">
        <w:rPr>
          <w:i/>
          <w:iCs/>
        </w:rPr>
        <w:t xml:space="preserve">Clostridium </w:t>
      </w:r>
      <w:proofErr w:type="spellStart"/>
      <w:r w:rsidRPr="001F5998">
        <w:rPr>
          <w:i/>
          <w:iCs/>
        </w:rPr>
        <w:t>perfringens</w:t>
      </w:r>
      <w:proofErr w:type="spellEnd"/>
      <w:r w:rsidRPr="001F5998">
        <w:t xml:space="preserve"> to reduce water activities. J Food </w:t>
      </w:r>
      <w:proofErr w:type="spellStart"/>
      <w:r w:rsidRPr="001F5998">
        <w:t>Sci</w:t>
      </w:r>
      <w:proofErr w:type="spellEnd"/>
      <w:r w:rsidRPr="001F5998">
        <w:t xml:space="preserve"> 47:1754-5.</w:t>
      </w:r>
    </w:p>
    <w:p w:rsidR="001F5998" w:rsidRPr="001F5998" w:rsidRDefault="001F5998" w:rsidP="001F5998">
      <w:pPr>
        <w:spacing w:before="100" w:beforeAutospacing="1" w:after="100" w:afterAutospacing="1"/>
      </w:pPr>
      <w:r w:rsidRPr="001F5998">
        <w:t xml:space="preserve">KC, </w:t>
      </w:r>
      <w:proofErr w:type="spellStart"/>
      <w:r w:rsidRPr="001F5998">
        <w:t>Goepfert</w:t>
      </w:r>
      <w:proofErr w:type="spellEnd"/>
      <w:r w:rsidRPr="001F5998">
        <w:t xml:space="preserve"> JM. 1970. Growth of </w:t>
      </w:r>
      <w:r w:rsidRPr="001F5998">
        <w:rPr>
          <w:i/>
          <w:iCs/>
        </w:rPr>
        <w:t>Salmonella</w:t>
      </w:r>
      <w:r w:rsidRPr="001F5998">
        <w:t xml:space="preserve"> at low </w:t>
      </w:r>
      <w:proofErr w:type="spellStart"/>
      <w:r w:rsidRPr="001F5998">
        <w:t>pH.</w:t>
      </w:r>
      <w:proofErr w:type="spellEnd"/>
      <w:r w:rsidRPr="001F5998">
        <w:t xml:space="preserve"> J Food </w:t>
      </w:r>
      <w:proofErr w:type="spellStart"/>
      <w:r w:rsidRPr="001F5998">
        <w:t>Sci</w:t>
      </w:r>
      <w:proofErr w:type="spellEnd"/>
      <w:r w:rsidRPr="001F5998">
        <w:t xml:space="preserve"> 35:326-8.</w:t>
      </w:r>
    </w:p>
    <w:p w:rsidR="001F5998" w:rsidRPr="001F5998" w:rsidRDefault="001F5998" w:rsidP="001F5998">
      <w:pPr>
        <w:spacing w:before="100" w:beforeAutospacing="1" w:after="100" w:afterAutospacing="1"/>
      </w:pPr>
      <w:proofErr w:type="spellStart"/>
      <w:r w:rsidRPr="001F5998">
        <w:t>Clavero</w:t>
      </w:r>
      <w:proofErr w:type="spellEnd"/>
      <w:r w:rsidRPr="001F5998">
        <w:t xml:space="preserve"> MRS, </w:t>
      </w:r>
      <w:proofErr w:type="spellStart"/>
      <w:r w:rsidRPr="001F5998">
        <w:t>Beuchat</w:t>
      </w:r>
      <w:proofErr w:type="spellEnd"/>
      <w:r w:rsidRPr="001F5998">
        <w:t xml:space="preserve"> LR. 1996. Survival of </w:t>
      </w:r>
      <w:r w:rsidRPr="001F5998">
        <w:rPr>
          <w:i/>
          <w:iCs/>
        </w:rPr>
        <w:t xml:space="preserve">Escherichia coli </w:t>
      </w:r>
      <w:r w:rsidRPr="001F5998">
        <w:t xml:space="preserve">0157:H7 in broth and processed salami as influenced by pH, water activity, and temperature and suitability of media for its recovery. </w:t>
      </w:r>
      <w:proofErr w:type="spellStart"/>
      <w:r w:rsidRPr="001F5998">
        <w:t>Appl</w:t>
      </w:r>
      <w:proofErr w:type="spellEnd"/>
      <w:r w:rsidRPr="001F5998">
        <w:t xml:space="preserve"> Environ </w:t>
      </w:r>
      <w:proofErr w:type="spellStart"/>
      <w:r w:rsidRPr="001F5998">
        <w:t>Microbiol</w:t>
      </w:r>
      <w:proofErr w:type="spellEnd"/>
      <w:r w:rsidRPr="001F5998">
        <w:t xml:space="preserve"> 62:2735-40.</w:t>
      </w:r>
    </w:p>
    <w:p w:rsidR="001F5998" w:rsidRPr="001F5998" w:rsidRDefault="001F5998" w:rsidP="001F5998">
      <w:pPr>
        <w:spacing w:before="100" w:beforeAutospacing="1" w:after="100" w:afterAutospacing="1"/>
      </w:pPr>
      <w:proofErr w:type="spellStart"/>
      <w:r w:rsidRPr="001F5998">
        <w:t>Clavero</w:t>
      </w:r>
      <w:proofErr w:type="spellEnd"/>
      <w:r w:rsidRPr="001F5998">
        <w:t xml:space="preserve"> MRS, Brackett RE, </w:t>
      </w:r>
      <w:proofErr w:type="spellStart"/>
      <w:r w:rsidRPr="001F5998">
        <w:t>Beuchat</w:t>
      </w:r>
      <w:proofErr w:type="spellEnd"/>
      <w:r w:rsidRPr="001F5998">
        <w:t xml:space="preserve"> LR, Doyle MP. 2000. Influence of water activity and storage conditions on survival and growth of </w:t>
      </w:r>
      <w:proofErr w:type="spellStart"/>
      <w:r w:rsidRPr="001F5998">
        <w:t>proteolytic</w:t>
      </w:r>
      <w:proofErr w:type="spellEnd"/>
      <w:r w:rsidRPr="001F5998">
        <w:t xml:space="preserve"> </w:t>
      </w:r>
      <w:r w:rsidRPr="001F5998">
        <w:rPr>
          <w:i/>
          <w:iCs/>
        </w:rPr>
        <w:t xml:space="preserve">Clostridium </w:t>
      </w:r>
      <w:proofErr w:type="spellStart"/>
      <w:r w:rsidRPr="001F5998">
        <w:rPr>
          <w:i/>
          <w:iCs/>
        </w:rPr>
        <w:t>botulinum</w:t>
      </w:r>
      <w:proofErr w:type="spellEnd"/>
      <w:r w:rsidRPr="001F5998">
        <w:t xml:space="preserve"> in peanut spread. Food </w:t>
      </w:r>
      <w:proofErr w:type="spellStart"/>
      <w:r w:rsidRPr="001F5998">
        <w:t>Microbiol</w:t>
      </w:r>
      <w:proofErr w:type="spellEnd"/>
      <w:r w:rsidRPr="001F5998">
        <w:t xml:space="preserve"> 17:53-61.</w:t>
      </w:r>
    </w:p>
    <w:p w:rsidR="001F5998" w:rsidRPr="001F5998" w:rsidRDefault="001F5998" w:rsidP="001F5998">
      <w:pPr>
        <w:spacing w:before="100" w:beforeAutospacing="1" w:after="100" w:afterAutospacing="1"/>
      </w:pPr>
      <w:proofErr w:type="gramStart"/>
      <w:r w:rsidRPr="001F5998">
        <w:t>KL.</w:t>
      </w:r>
      <w:proofErr w:type="gramEnd"/>
      <w:r w:rsidRPr="001F5998">
        <w:t xml:space="preserve"> 1989. Combined effect of water activity and pH on inhibition of toxin production by </w:t>
      </w:r>
      <w:r w:rsidRPr="001F5998">
        <w:rPr>
          <w:i/>
          <w:iCs/>
        </w:rPr>
        <w:t xml:space="preserve">Clostridium </w:t>
      </w:r>
      <w:proofErr w:type="spellStart"/>
      <w:r w:rsidRPr="001F5998">
        <w:rPr>
          <w:i/>
          <w:iCs/>
        </w:rPr>
        <w:t>botulinum</w:t>
      </w:r>
      <w:proofErr w:type="spellEnd"/>
      <w:r w:rsidRPr="001F5998">
        <w:t xml:space="preserve"> in cooked, vacuum-packed potatoes. </w:t>
      </w:r>
      <w:proofErr w:type="spellStart"/>
      <w:r w:rsidRPr="001F5998">
        <w:t>Appl</w:t>
      </w:r>
      <w:proofErr w:type="spellEnd"/>
      <w:r w:rsidRPr="001F5998">
        <w:t xml:space="preserve"> Environ </w:t>
      </w:r>
      <w:proofErr w:type="spellStart"/>
      <w:r w:rsidRPr="001F5998">
        <w:t>Microbiol</w:t>
      </w:r>
      <w:proofErr w:type="spellEnd"/>
      <w:r w:rsidRPr="001F5998">
        <w:t xml:space="preserve"> 55:656-60.</w:t>
      </w:r>
    </w:p>
    <w:p w:rsidR="001F5998" w:rsidRPr="001F5998" w:rsidRDefault="001F5998" w:rsidP="001F5998">
      <w:pPr>
        <w:spacing w:before="100" w:beforeAutospacing="1" w:after="100" w:afterAutospacing="1"/>
      </w:pPr>
      <w:proofErr w:type="gramStart"/>
      <w:r w:rsidRPr="001F5998">
        <w:t>KA, Doyle MP.</w:t>
      </w:r>
      <w:proofErr w:type="gramEnd"/>
      <w:r w:rsidRPr="001F5998">
        <w:t xml:space="preserve"> 1991. Relationship between water activity of fresh pasta and toxin production by </w:t>
      </w:r>
      <w:proofErr w:type="spellStart"/>
      <w:r w:rsidRPr="001F5998">
        <w:t>proteolytic</w:t>
      </w:r>
      <w:proofErr w:type="spellEnd"/>
      <w:r w:rsidRPr="001F5998">
        <w:t xml:space="preserve"> </w:t>
      </w:r>
      <w:r w:rsidRPr="001F5998">
        <w:rPr>
          <w:i/>
          <w:iCs/>
        </w:rPr>
        <w:t xml:space="preserve">Clostridium </w:t>
      </w:r>
      <w:proofErr w:type="spellStart"/>
      <w:r w:rsidRPr="001F5998">
        <w:rPr>
          <w:i/>
          <w:iCs/>
        </w:rPr>
        <w:t>botulinum</w:t>
      </w:r>
      <w:proofErr w:type="spellEnd"/>
      <w:r w:rsidRPr="001F5998">
        <w:t xml:space="preserve">. J Food </w:t>
      </w:r>
      <w:proofErr w:type="spellStart"/>
      <w:r w:rsidRPr="001F5998">
        <w:t>Prot</w:t>
      </w:r>
      <w:proofErr w:type="spellEnd"/>
      <w:r w:rsidRPr="001F5998">
        <w:t xml:space="preserve"> 54:162-5. </w:t>
      </w:r>
      <w:proofErr w:type="gramStart"/>
      <w:r w:rsidRPr="001F5998">
        <w:t>P. 2001.</w:t>
      </w:r>
      <w:proofErr w:type="gramEnd"/>
      <w:r w:rsidRPr="001F5998">
        <w:t xml:space="preserve"> </w:t>
      </w:r>
      <w:proofErr w:type="gramStart"/>
      <w:r w:rsidRPr="001F5998">
        <w:rPr>
          <w:i/>
          <w:iCs/>
        </w:rPr>
        <w:t xml:space="preserve">Clostridium </w:t>
      </w:r>
      <w:proofErr w:type="spellStart"/>
      <w:r w:rsidRPr="001F5998">
        <w:rPr>
          <w:i/>
          <w:iCs/>
        </w:rPr>
        <w:t>botulinum</w:t>
      </w:r>
      <w:proofErr w:type="spellEnd"/>
      <w:r w:rsidRPr="001F5998">
        <w:t xml:space="preserve"> toxin production in various foods.</w:t>
      </w:r>
      <w:proofErr w:type="gramEnd"/>
      <w:r w:rsidRPr="001F5998">
        <w:t xml:space="preserve"> </w:t>
      </w:r>
      <w:proofErr w:type="gramStart"/>
      <w:r w:rsidRPr="001F5998">
        <w:t>Personal communication.</w:t>
      </w:r>
      <w:proofErr w:type="gramEnd"/>
    </w:p>
    <w:p w:rsidR="001F5998" w:rsidRPr="001F5998" w:rsidRDefault="001F5998" w:rsidP="001F5998">
      <w:pPr>
        <w:spacing w:before="100" w:beforeAutospacing="1" w:after="100" w:afterAutospacing="1"/>
      </w:pPr>
      <w:proofErr w:type="spellStart"/>
      <w:r w:rsidRPr="001F5998">
        <w:t>Hauschild</w:t>
      </w:r>
      <w:proofErr w:type="spellEnd"/>
      <w:r w:rsidRPr="001F5998">
        <w:t xml:space="preserve"> AHW, </w:t>
      </w:r>
      <w:proofErr w:type="spellStart"/>
      <w:r w:rsidRPr="001F5998">
        <w:t>Hilscheimer</w:t>
      </w:r>
      <w:proofErr w:type="spellEnd"/>
      <w:r w:rsidRPr="001F5998">
        <w:t xml:space="preserve"> R. 1979. </w:t>
      </w:r>
      <w:proofErr w:type="gramStart"/>
      <w:r w:rsidRPr="001F5998">
        <w:t xml:space="preserve">Effect of salt content and pH on </w:t>
      </w:r>
      <w:proofErr w:type="spellStart"/>
      <w:r w:rsidRPr="001F5998">
        <w:t>toxigenesis</w:t>
      </w:r>
      <w:proofErr w:type="spellEnd"/>
      <w:r w:rsidRPr="001F5998">
        <w:t xml:space="preserve"> by Clostridium </w:t>
      </w:r>
      <w:proofErr w:type="spellStart"/>
      <w:r w:rsidRPr="001F5998">
        <w:t>botulinum</w:t>
      </w:r>
      <w:proofErr w:type="spellEnd"/>
      <w:r w:rsidRPr="001F5998">
        <w:t xml:space="preserve"> in caviar [</w:t>
      </w:r>
      <w:proofErr w:type="spellStart"/>
      <w:r w:rsidRPr="001F5998">
        <w:t>proteolytic</w:t>
      </w:r>
      <w:proofErr w:type="spellEnd"/>
      <w:r w:rsidRPr="001F5998">
        <w:t xml:space="preserve"> strains only].</w:t>
      </w:r>
      <w:proofErr w:type="gramEnd"/>
      <w:r w:rsidRPr="001F5998">
        <w:t xml:space="preserve"> J Food </w:t>
      </w:r>
      <w:proofErr w:type="spellStart"/>
      <w:r w:rsidRPr="001F5998">
        <w:t>Prot</w:t>
      </w:r>
      <w:proofErr w:type="spellEnd"/>
      <w:r w:rsidRPr="001F5998">
        <w:t xml:space="preserve"> 43:245-8. (</w:t>
      </w:r>
      <w:proofErr w:type="gramStart"/>
      <w:r w:rsidRPr="001F5998">
        <w:t>cited</w:t>
      </w:r>
      <w:proofErr w:type="gramEnd"/>
      <w:r w:rsidRPr="001F5998">
        <w:t xml:space="preserve"> in ICMSF 1996a).</w:t>
      </w:r>
    </w:p>
    <w:p w:rsidR="001F5998" w:rsidRPr="001F5998" w:rsidRDefault="001F5998" w:rsidP="001F5998">
      <w:pPr>
        <w:spacing w:before="100" w:beforeAutospacing="1" w:after="100" w:afterAutospacing="1"/>
      </w:pPr>
      <w:r w:rsidRPr="001F5998">
        <w:t xml:space="preserve">[ICMSF] </w:t>
      </w:r>
      <w:proofErr w:type="gramStart"/>
      <w:r w:rsidRPr="001F5998">
        <w:t>International Commission on Microbiological Specification for Foods.</w:t>
      </w:r>
      <w:proofErr w:type="gramEnd"/>
      <w:r w:rsidRPr="001F5998">
        <w:t xml:space="preserve"> 1996. Microorganisms in foods. </w:t>
      </w:r>
      <w:proofErr w:type="gramStart"/>
      <w:r w:rsidRPr="001F5998">
        <w:t>Volume 5, Characteristics of microbial pathogens.</w:t>
      </w:r>
      <w:proofErr w:type="gramEnd"/>
      <w:r w:rsidRPr="001F5998">
        <w:t xml:space="preserve"> London: Blackie Academic &amp; Professional. </w:t>
      </w:r>
      <w:proofErr w:type="gramStart"/>
      <w:r w:rsidRPr="001F5998">
        <w:t>513 p.</w:t>
      </w:r>
      <w:proofErr w:type="gramEnd"/>
    </w:p>
    <w:p w:rsidR="001F5998" w:rsidRPr="001F5998" w:rsidRDefault="001F5998" w:rsidP="001F5998">
      <w:pPr>
        <w:spacing w:before="100" w:beforeAutospacing="1" w:after="100" w:afterAutospacing="1"/>
      </w:pPr>
      <w:proofErr w:type="gramStart"/>
      <w:r w:rsidRPr="001F5998">
        <w:t>JY.</w:t>
      </w:r>
      <w:proofErr w:type="gramEnd"/>
      <w:r w:rsidRPr="001F5998">
        <w:t xml:space="preserve"> 1991. Clostridium </w:t>
      </w:r>
      <w:proofErr w:type="spellStart"/>
      <w:r w:rsidRPr="001F5998">
        <w:t>botulinum</w:t>
      </w:r>
      <w:proofErr w:type="spellEnd"/>
      <w:r w:rsidRPr="001F5998">
        <w:t xml:space="preserve"> growth and </w:t>
      </w:r>
      <w:proofErr w:type="spellStart"/>
      <w:r w:rsidRPr="001F5998">
        <w:t>toxigenesis</w:t>
      </w:r>
      <w:proofErr w:type="spellEnd"/>
      <w:r w:rsidRPr="001F5998">
        <w:t xml:space="preserve"> in shelf stable noodles. J Food </w:t>
      </w:r>
      <w:proofErr w:type="spellStart"/>
      <w:r w:rsidRPr="001F5998">
        <w:t>Sci</w:t>
      </w:r>
      <w:proofErr w:type="spellEnd"/>
      <w:r w:rsidRPr="001F5998">
        <w:t xml:space="preserve"> 56:264-5. </w:t>
      </w:r>
      <w:proofErr w:type="gramStart"/>
      <w:r w:rsidRPr="001F5998">
        <w:t xml:space="preserve">KA, Chen JK, </w:t>
      </w:r>
      <w:proofErr w:type="spellStart"/>
      <w:r w:rsidRPr="001F5998">
        <w:t>Lerke</w:t>
      </w:r>
      <w:proofErr w:type="spellEnd"/>
      <w:r w:rsidRPr="001F5998">
        <w:t xml:space="preserve"> PA, Seeger ML, </w:t>
      </w:r>
      <w:proofErr w:type="spellStart"/>
      <w:r w:rsidRPr="001F5998">
        <w:t>Unverferth</w:t>
      </w:r>
      <w:proofErr w:type="spellEnd"/>
      <w:r w:rsidRPr="001F5998">
        <w:t xml:space="preserve"> JA.</w:t>
      </w:r>
      <w:proofErr w:type="gramEnd"/>
      <w:r w:rsidRPr="001F5998">
        <w:t xml:space="preserve"> 1976. Effect of acid and salt concentrations in fresh-pack pickles on the growth of </w:t>
      </w:r>
      <w:r w:rsidRPr="001F5998">
        <w:rPr>
          <w:i/>
          <w:iCs/>
        </w:rPr>
        <w:t xml:space="preserve">Clostridium </w:t>
      </w:r>
      <w:proofErr w:type="spellStart"/>
      <w:r w:rsidRPr="001F5998">
        <w:rPr>
          <w:i/>
          <w:iCs/>
        </w:rPr>
        <w:t>botulinum</w:t>
      </w:r>
      <w:proofErr w:type="spellEnd"/>
      <w:r w:rsidRPr="001F5998">
        <w:t xml:space="preserve"> spores. </w:t>
      </w:r>
      <w:proofErr w:type="spellStart"/>
      <w:r w:rsidRPr="001F5998">
        <w:t>Appl</w:t>
      </w:r>
      <w:proofErr w:type="spellEnd"/>
      <w:r w:rsidRPr="001F5998">
        <w:t xml:space="preserve"> Environ </w:t>
      </w:r>
      <w:proofErr w:type="spellStart"/>
      <w:r w:rsidRPr="001F5998">
        <w:t>Microbiol</w:t>
      </w:r>
      <w:proofErr w:type="spellEnd"/>
      <w:r w:rsidRPr="001F5998">
        <w:t xml:space="preserve"> 32:121-4. (</w:t>
      </w:r>
      <w:proofErr w:type="gramStart"/>
      <w:r w:rsidRPr="001F5998">
        <w:t>cited</w:t>
      </w:r>
      <w:proofErr w:type="gramEnd"/>
      <w:r w:rsidRPr="001F5998">
        <w:t xml:space="preserve"> in ICMSF 1996a).</w:t>
      </w:r>
    </w:p>
    <w:p w:rsidR="001F5998" w:rsidRPr="001F5998" w:rsidRDefault="001F5998" w:rsidP="001F5998">
      <w:pPr>
        <w:spacing w:before="100" w:beforeAutospacing="1" w:after="100" w:afterAutospacing="1"/>
      </w:pPr>
      <w:proofErr w:type="spellStart"/>
      <w:r w:rsidRPr="001F5998">
        <w:t>Jakobsen</w:t>
      </w:r>
      <w:proofErr w:type="spellEnd"/>
      <w:r w:rsidRPr="001F5998">
        <w:t xml:space="preserve"> M, </w:t>
      </w:r>
      <w:proofErr w:type="spellStart"/>
      <w:r w:rsidRPr="001F5998">
        <w:t>Trolle</w:t>
      </w:r>
      <w:proofErr w:type="spellEnd"/>
      <w:r w:rsidRPr="001F5998">
        <w:t xml:space="preserve"> G. 1979. </w:t>
      </w:r>
      <w:proofErr w:type="gramStart"/>
      <w:r w:rsidRPr="001F5998">
        <w:t>The effect of water activity on growth of clostridia.</w:t>
      </w:r>
      <w:proofErr w:type="gramEnd"/>
      <w:r w:rsidRPr="001F5998">
        <w:t xml:space="preserve"> Nord Vet-Med 31:206-13. CK, Woodburn M, </w:t>
      </w:r>
      <w:proofErr w:type="spellStart"/>
      <w:r w:rsidRPr="001F5998">
        <w:t>Pagenkopf</w:t>
      </w:r>
      <w:proofErr w:type="spellEnd"/>
      <w:r w:rsidRPr="001F5998">
        <w:t xml:space="preserve"> A, Cheney R. 1969. </w:t>
      </w:r>
      <w:proofErr w:type="gramStart"/>
      <w:r w:rsidRPr="001F5998">
        <w:t xml:space="preserve">Growth, sporulation and germination of </w:t>
      </w:r>
      <w:r w:rsidRPr="001F5998">
        <w:rPr>
          <w:i/>
          <w:iCs/>
        </w:rPr>
        <w:t xml:space="preserve">Clostridium </w:t>
      </w:r>
      <w:proofErr w:type="spellStart"/>
      <w:r w:rsidRPr="001F5998">
        <w:rPr>
          <w:i/>
          <w:iCs/>
        </w:rPr>
        <w:t>perfringens</w:t>
      </w:r>
      <w:proofErr w:type="spellEnd"/>
      <w:r w:rsidRPr="001F5998">
        <w:t xml:space="preserve"> in media of controlled water activity.</w:t>
      </w:r>
      <w:proofErr w:type="gramEnd"/>
      <w:r w:rsidRPr="001F5998">
        <w:t xml:space="preserve"> </w:t>
      </w:r>
      <w:proofErr w:type="spellStart"/>
      <w:r w:rsidRPr="001F5998">
        <w:t>Appl</w:t>
      </w:r>
      <w:proofErr w:type="spellEnd"/>
      <w:r w:rsidRPr="001F5998">
        <w:t xml:space="preserve"> </w:t>
      </w:r>
      <w:proofErr w:type="spellStart"/>
      <w:r w:rsidRPr="001F5998">
        <w:t>Microbiol</w:t>
      </w:r>
      <w:proofErr w:type="spellEnd"/>
      <w:r w:rsidRPr="001F5998">
        <w:t xml:space="preserve"> 18:789-805. (</w:t>
      </w:r>
      <w:proofErr w:type="gramStart"/>
      <w:r w:rsidRPr="001F5998">
        <w:t>cited</w:t>
      </w:r>
      <w:proofErr w:type="gramEnd"/>
      <w:r w:rsidRPr="001F5998">
        <w:t xml:space="preserve"> in ICMSF 1996a). K-Y, Torres JA. 1993. Water activity relationships for selected </w:t>
      </w:r>
      <w:proofErr w:type="spellStart"/>
      <w:r w:rsidRPr="001F5998">
        <w:t>mesophiles</w:t>
      </w:r>
      <w:proofErr w:type="spellEnd"/>
      <w:r w:rsidRPr="001F5998">
        <w:t xml:space="preserve"> and </w:t>
      </w:r>
      <w:proofErr w:type="spellStart"/>
      <w:r w:rsidRPr="001F5998">
        <w:t>psychrotrophs</w:t>
      </w:r>
      <w:proofErr w:type="spellEnd"/>
      <w:r w:rsidRPr="001F5998">
        <w:t xml:space="preserve"> at refrigeration temperatures. J Food </w:t>
      </w:r>
      <w:proofErr w:type="spellStart"/>
      <w:r w:rsidRPr="001F5998">
        <w:t>Prot</w:t>
      </w:r>
      <w:proofErr w:type="spellEnd"/>
      <w:r w:rsidRPr="001F5998">
        <w:t xml:space="preserve"> 56:612-5. (</w:t>
      </w:r>
      <w:proofErr w:type="gramStart"/>
      <w:r w:rsidRPr="001F5998">
        <w:t>cited</w:t>
      </w:r>
      <w:proofErr w:type="gramEnd"/>
      <w:r w:rsidRPr="001F5998">
        <w:t xml:space="preserve"> in ICMSF 1996a).</w:t>
      </w:r>
    </w:p>
    <w:p w:rsidR="001F5998" w:rsidRPr="001F5998" w:rsidRDefault="001F5998" w:rsidP="001F5998">
      <w:pPr>
        <w:spacing w:before="100" w:beforeAutospacing="1" w:after="100" w:afterAutospacing="1"/>
      </w:pPr>
      <w:r w:rsidRPr="001F5998">
        <w:lastRenderedPageBreak/>
        <w:t xml:space="preserve">McClure PJ, Roberts TA, Otto </w:t>
      </w:r>
      <w:proofErr w:type="spellStart"/>
      <w:r w:rsidRPr="001F5998">
        <w:t>Oguru</w:t>
      </w:r>
      <w:proofErr w:type="spellEnd"/>
      <w:r w:rsidRPr="001F5998">
        <w:t xml:space="preserve"> P. 1989. </w:t>
      </w:r>
      <w:proofErr w:type="gramStart"/>
      <w:r w:rsidRPr="001F5998">
        <w:t xml:space="preserve">Comparison of the effects of sodium chloride, pH and temperature on the growth of </w:t>
      </w:r>
      <w:r w:rsidRPr="001F5998">
        <w:rPr>
          <w:i/>
          <w:iCs/>
        </w:rPr>
        <w:t xml:space="preserve">Listeria </w:t>
      </w:r>
      <w:proofErr w:type="spellStart"/>
      <w:r w:rsidRPr="001F5998">
        <w:rPr>
          <w:i/>
          <w:iCs/>
        </w:rPr>
        <w:t>monocytogenes</w:t>
      </w:r>
      <w:proofErr w:type="spellEnd"/>
      <w:r w:rsidRPr="001F5998">
        <w:t xml:space="preserve"> on gradient plats and in liquid medium.</w:t>
      </w:r>
      <w:proofErr w:type="gramEnd"/>
      <w:r w:rsidRPr="001F5998">
        <w:t xml:space="preserve"> </w:t>
      </w:r>
      <w:proofErr w:type="spellStart"/>
      <w:r w:rsidRPr="001F5998">
        <w:t>Lett</w:t>
      </w:r>
      <w:proofErr w:type="spellEnd"/>
      <w:r w:rsidRPr="001F5998">
        <w:t xml:space="preserve"> </w:t>
      </w:r>
      <w:proofErr w:type="spellStart"/>
      <w:r w:rsidRPr="001F5998">
        <w:t>Appl</w:t>
      </w:r>
      <w:proofErr w:type="spellEnd"/>
      <w:r w:rsidRPr="001F5998">
        <w:t xml:space="preserve"> </w:t>
      </w:r>
      <w:proofErr w:type="spellStart"/>
      <w:r w:rsidRPr="001F5998">
        <w:t>Microbiol</w:t>
      </w:r>
      <w:proofErr w:type="spellEnd"/>
      <w:r w:rsidRPr="001F5998">
        <w:t xml:space="preserve"> 9:95-9. (</w:t>
      </w:r>
      <w:proofErr w:type="gramStart"/>
      <w:r w:rsidRPr="001F5998">
        <w:t>cited</w:t>
      </w:r>
      <w:proofErr w:type="gramEnd"/>
      <w:r w:rsidRPr="001F5998">
        <w:t xml:space="preserve"> in ICMSF 1996a).</w:t>
      </w:r>
    </w:p>
    <w:p w:rsidR="001F5998" w:rsidRPr="001F5998" w:rsidRDefault="001F5998" w:rsidP="001F5998">
      <w:pPr>
        <w:spacing w:before="100" w:beforeAutospacing="1" w:after="100" w:afterAutospacing="1"/>
      </w:pPr>
      <w:r w:rsidRPr="001F5998">
        <w:t xml:space="preserve">Miller AJ. 1992. Combined water activity and solute effects on growth and survival of </w:t>
      </w:r>
      <w:r w:rsidRPr="001F5998">
        <w:rPr>
          <w:i/>
          <w:iCs/>
        </w:rPr>
        <w:t xml:space="preserve">Listeria </w:t>
      </w:r>
      <w:proofErr w:type="spellStart"/>
      <w:r w:rsidRPr="001F5998">
        <w:rPr>
          <w:i/>
          <w:iCs/>
        </w:rPr>
        <w:t>monocytogenes</w:t>
      </w:r>
      <w:proofErr w:type="spellEnd"/>
      <w:r w:rsidRPr="001F5998">
        <w:t xml:space="preserve"> Scott A. J Food </w:t>
      </w:r>
      <w:proofErr w:type="spellStart"/>
      <w:r w:rsidRPr="001F5998">
        <w:t>Prot</w:t>
      </w:r>
      <w:proofErr w:type="spellEnd"/>
      <w:r w:rsidRPr="001F5998">
        <w:t xml:space="preserve"> 55:414-18. (</w:t>
      </w:r>
      <w:proofErr w:type="gramStart"/>
      <w:r w:rsidRPr="001F5998">
        <w:t>cited</w:t>
      </w:r>
      <w:proofErr w:type="gramEnd"/>
      <w:r w:rsidRPr="001F5998">
        <w:t xml:space="preserve"> in ICMSF 1996a).</w:t>
      </w:r>
    </w:p>
    <w:p w:rsidR="001F5998" w:rsidRPr="001F5998" w:rsidRDefault="001F5998" w:rsidP="001F5998">
      <w:pPr>
        <w:spacing w:before="100" w:beforeAutospacing="1" w:after="100" w:afterAutospacing="1"/>
      </w:pPr>
      <w:proofErr w:type="spellStart"/>
      <w:r w:rsidRPr="001F5998">
        <w:t>Notermans</w:t>
      </w:r>
      <w:proofErr w:type="spellEnd"/>
      <w:r w:rsidRPr="001F5998">
        <w:t xml:space="preserve"> S, </w:t>
      </w:r>
      <w:proofErr w:type="spellStart"/>
      <w:r w:rsidRPr="001F5998">
        <w:t>Heuvelman</w:t>
      </w:r>
      <w:proofErr w:type="spellEnd"/>
      <w:r w:rsidRPr="001F5998">
        <w:t xml:space="preserve"> CJ. 1983. Combined effect of water activity, pH and sub-optimal temperature on growth and enterotoxin production of </w:t>
      </w:r>
      <w:r w:rsidRPr="001F5998">
        <w:rPr>
          <w:i/>
          <w:iCs/>
        </w:rPr>
        <w:t xml:space="preserve">Staphylococcus </w:t>
      </w:r>
      <w:proofErr w:type="spellStart"/>
      <w:r w:rsidRPr="001F5998">
        <w:rPr>
          <w:i/>
          <w:iCs/>
        </w:rPr>
        <w:t>aureus</w:t>
      </w:r>
      <w:proofErr w:type="spellEnd"/>
      <w:r w:rsidRPr="001F5998">
        <w:t xml:space="preserve">. </w:t>
      </w:r>
      <w:proofErr w:type="gramStart"/>
      <w:r w:rsidRPr="001F5998">
        <w:t xml:space="preserve">J Food </w:t>
      </w:r>
      <w:proofErr w:type="spellStart"/>
      <w:r w:rsidRPr="001F5998">
        <w:t>Sci</w:t>
      </w:r>
      <w:proofErr w:type="spellEnd"/>
      <w:r w:rsidRPr="001F5998">
        <w:t xml:space="preserve"> 48:1832-5, 40.</w:t>
      </w:r>
      <w:proofErr w:type="gramEnd"/>
    </w:p>
    <w:p w:rsidR="001F5998" w:rsidRPr="001F5998" w:rsidRDefault="001F5998" w:rsidP="001F5998">
      <w:pPr>
        <w:spacing w:before="100" w:beforeAutospacing="1" w:after="100" w:afterAutospacing="1"/>
      </w:pPr>
      <w:proofErr w:type="spellStart"/>
      <w:proofErr w:type="gramStart"/>
      <w:r w:rsidRPr="001F5998">
        <w:t>Petran</w:t>
      </w:r>
      <w:proofErr w:type="spellEnd"/>
      <w:r w:rsidRPr="001F5998">
        <w:t xml:space="preserve"> RL, </w:t>
      </w:r>
      <w:proofErr w:type="spellStart"/>
      <w:r w:rsidRPr="001F5998">
        <w:t>Aottola</w:t>
      </w:r>
      <w:proofErr w:type="spellEnd"/>
      <w:r w:rsidRPr="001F5998">
        <w:t xml:space="preserve"> EA. 1989.</w:t>
      </w:r>
      <w:proofErr w:type="gramEnd"/>
      <w:r w:rsidRPr="001F5998">
        <w:t xml:space="preserve"> A study of factors affecting growth and recovery of </w:t>
      </w:r>
      <w:r w:rsidRPr="001F5998">
        <w:rPr>
          <w:i/>
          <w:iCs/>
        </w:rPr>
        <w:t xml:space="preserve">Listeria </w:t>
      </w:r>
      <w:proofErr w:type="spellStart"/>
      <w:r w:rsidRPr="001F5998">
        <w:rPr>
          <w:i/>
          <w:iCs/>
        </w:rPr>
        <w:t>monocytogenes</w:t>
      </w:r>
      <w:proofErr w:type="spellEnd"/>
      <w:r w:rsidRPr="001F5998">
        <w:t xml:space="preserve"> Scott A. J Food </w:t>
      </w:r>
      <w:proofErr w:type="spellStart"/>
      <w:r w:rsidRPr="001F5998">
        <w:t>Sci</w:t>
      </w:r>
      <w:proofErr w:type="spellEnd"/>
      <w:r w:rsidRPr="001F5998">
        <w:t xml:space="preserve"> 54(2):45-60. (</w:t>
      </w:r>
      <w:proofErr w:type="gramStart"/>
      <w:r w:rsidRPr="001F5998">
        <w:t>cited</w:t>
      </w:r>
      <w:proofErr w:type="gramEnd"/>
      <w:r w:rsidRPr="001F5998">
        <w:t xml:space="preserve"> in ICMSF 1996a).</w:t>
      </w:r>
    </w:p>
    <w:p w:rsidR="001F5998" w:rsidRPr="001F5998" w:rsidRDefault="001F5998" w:rsidP="001F5998">
      <w:pPr>
        <w:spacing w:before="100" w:beforeAutospacing="1" w:after="100" w:afterAutospacing="1"/>
      </w:pPr>
      <w:proofErr w:type="spellStart"/>
      <w:r w:rsidRPr="001F5998">
        <w:t>Raevuori</w:t>
      </w:r>
      <w:proofErr w:type="spellEnd"/>
      <w:r w:rsidRPr="001F5998">
        <w:t xml:space="preserve"> M, </w:t>
      </w:r>
      <w:proofErr w:type="spellStart"/>
      <w:r w:rsidRPr="001F5998">
        <w:t>Genigeorgis</w:t>
      </w:r>
      <w:proofErr w:type="spellEnd"/>
      <w:r w:rsidRPr="001F5998">
        <w:t xml:space="preserve"> C. 1975. </w:t>
      </w:r>
      <w:proofErr w:type="gramStart"/>
      <w:r w:rsidRPr="001F5998">
        <w:t>Effect of pH and sodium chloride on growth of Bacillus cereus in laboratory media and certain foods [rice and meat data only].</w:t>
      </w:r>
      <w:proofErr w:type="gramEnd"/>
      <w:r w:rsidRPr="001F5998">
        <w:t xml:space="preserve"> </w:t>
      </w:r>
      <w:proofErr w:type="spellStart"/>
      <w:r w:rsidRPr="001F5998">
        <w:t>Appl</w:t>
      </w:r>
      <w:proofErr w:type="spellEnd"/>
      <w:r w:rsidRPr="001F5998">
        <w:t xml:space="preserve"> </w:t>
      </w:r>
      <w:proofErr w:type="spellStart"/>
      <w:r w:rsidRPr="001F5998">
        <w:t>Microbiol</w:t>
      </w:r>
      <w:proofErr w:type="spellEnd"/>
      <w:r w:rsidRPr="001F5998">
        <w:t xml:space="preserve"> 29:68-73.</w:t>
      </w:r>
    </w:p>
    <w:p w:rsidR="001F5998" w:rsidRPr="001F5998" w:rsidRDefault="001F5998" w:rsidP="001F5998">
      <w:pPr>
        <w:spacing w:before="100" w:beforeAutospacing="1" w:after="100" w:afterAutospacing="1"/>
      </w:pPr>
      <w:proofErr w:type="spellStart"/>
      <w:r w:rsidRPr="001F5998">
        <w:t>Razavilar</w:t>
      </w:r>
      <w:proofErr w:type="spellEnd"/>
      <w:r w:rsidRPr="001F5998">
        <w:t xml:space="preserve"> V, </w:t>
      </w:r>
      <w:proofErr w:type="spellStart"/>
      <w:r w:rsidRPr="001F5998">
        <w:t>Genigeorgis</w:t>
      </w:r>
      <w:proofErr w:type="spellEnd"/>
      <w:r w:rsidRPr="001F5998">
        <w:t xml:space="preserve"> C. 1998. </w:t>
      </w:r>
      <w:proofErr w:type="gramStart"/>
      <w:r w:rsidRPr="001F5998">
        <w:t xml:space="preserve">Prediction of </w:t>
      </w:r>
      <w:r w:rsidRPr="001F5998">
        <w:rPr>
          <w:i/>
          <w:iCs/>
        </w:rPr>
        <w:t>Listeria</w:t>
      </w:r>
      <w:r w:rsidRPr="001F5998">
        <w:t xml:space="preserve"> spp. growth as affected by various levels of chemicals, pH, temperature and storage time in a model broth.</w:t>
      </w:r>
      <w:proofErr w:type="gramEnd"/>
      <w:r w:rsidRPr="001F5998">
        <w:t xml:space="preserve"> </w:t>
      </w:r>
      <w:proofErr w:type="spellStart"/>
      <w:r w:rsidRPr="001F5998">
        <w:t>Int</w:t>
      </w:r>
      <w:proofErr w:type="spellEnd"/>
      <w:r w:rsidRPr="001F5998">
        <w:t xml:space="preserve"> J Food </w:t>
      </w:r>
      <w:proofErr w:type="spellStart"/>
      <w:r w:rsidRPr="001F5998">
        <w:t>Microbiol</w:t>
      </w:r>
      <w:proofErr w:type="spellEnd"/>
      <w:r w:rsidRPr="001F5998">
        <w:t xml:space="preserve"> 40:149-57.</w:t>
      </w:r>
    </w:p>
    <w:p w:rsidR="001F5998" w:rsidRPr="001F5998" w:rsidRDefault="001F5998" w:rsidP="001F5998">
      <w:pPr>
        <w:spacing w:before="100" w:beforeAutospacing="1" w:after="100" w:afterAutospacing="1"/>
      </w:pPr>
      <w:proofErr w:type="gramStart"/>
      <w:r w:rsidRPr="001F5998">
        <w:t xml:space="preserve">Simpson MV, Smith JP, </w:t>
      </w:r>
      <w:proofErr w:type="spellStart"/>
      <w:r w:rsidRPr="001F5998">
        <w:t>Dodds</w:t>
      </w:r>
      <w:proofErr w:type="spellEnd"/>
      <w:r w:rsidRPr="001F5998">
        <w:t xml:space="preserve"> KL, </w:t>
      </w:r>
      <w:proofErr w:type="spellStart"/>
      <w:r w:rsidRPr="001F5998">
        <w:t>Ramaswamy</w:t>
      </w:r>
      <w:proofErr w:type="spellEnd"/>
      <w:r w:rsidRPr="001F5998">
        <w:t xml:space="preserve"> HS, </w:t>
      </w:r>
      <w:proofErr w:type="spellStart"/>
      <w:r w:rsidRPr="001F5998">
        <w:t>Blanchfield</w:t>
      </w:r>
      <w:proofErr w:type="spellEnd"/>
      <w:r w:rsidRPr="001F5998">
        <w:t xml:space="preserve"> B, Simpson BK. 1995.</w:t>
      </w:r>
      <w:proofErr w:type="gramEnd"/>
      <w:r w:rsidRPr="001F5998">
        <w:t xml:space="preserve"> Challenge studies with </w:t>
      </w:r>
      <w:r w:rsidRPr="001F5998">
        <w:rPr>
          <w:i/>
          <w:iCs/>
        </w:rPr>
        <w:t xml:space="preserve">Clostridium </w:t>
      </w:r>
      <w:proofErr w:type="spellStart"/>
      <w:r w:rsidRPr="001F5998">
        <w:rPr>
          <w:i/>
          <w:iCs/>
        </w:rPr>
        <w:t>botulinum</w:t>
      </w:r>
      <w:proofErr w:type="spellEnd"/>
      <w:r w:rsidRPr="001F5998">
        <w:t xml:space="preserve"> </w:t>
      </w:r>
      <w:proofErr w:type="gramStart"/>
      <w:r w:rsidRPr="001F5998">
        <w:t>in a sous</w:t>
      </w:r>
      <w:proofErr w:type="gramEnd"/>
      <w:r w:rsidRPr="001F5998">
        <w:t xml:space="preserve"> vide spaghetti and meat sauce product. J Food </w:t>
      </w:r>
      <w:proofErr w:type="spellStart"/>
      <w:r w:rsidRPr="001F5998">
        <w:t>Prot</w:t>
      </w:r>
      <w:proofErr w:type="spellEnd"/>
      <w:r w:rsidRPr="001F5998">
        <w:t xml:space="preserve"> 58:229-34.</w:t>
      </w:r>
    </w:p>
    <w:p w:rsidR="001F5998" w:rsidRPr="001F5998" w:rsidRDefault="001F5998" w:rsidP="001F5998">
      <w:pPr>
        <w:spacing w:before="100" w:beforeAutospacing="1" w:after="100" w:afterAutospacing="1"/>
      </w:pPr>
      <w:r w:rsidRPr="001F5998">
        <w:t xml:space="preserve">Swanson KMJ. 2001. </w:t>
      </w:r>
      <w:r w:rsidRPr="001F5998">
        <w:rPr>
          <w:i/>
          <w:iCs/>
        </w:rPr>
        <w:t xml:space="preserve">Clostridium </w:t>
      </w:r>
      <w:proofErr w:type="spellStart"/>
      <w:r w:rsidRPr="001F5998">
        <w:rPr>
          <w:i/>
          <w:iCs/>
        </w:rPr>
        <w:t>botulinum</w:t>
      </w:r>
      <w:proofErr w:type="spellEnd"/>
      <w:r w:rsidRPr="001F5998">
        <w:t xml:space="preserve"> toxin production in various foods. </w:t>
      </w:r>
      <w:proofErr w:type="gramStart"/>
      <w:r w:rsidRPr="001F5998">
        <w:t>Personal communication.</w:t>
      </w:r>
      <w:proofErr w:type="gramEnd"/>
    </w:p>
    <w:p w:rsidR="001F5998" w:rsidRPr="001F5998" w:rsidRDefault="001F5998" w:rsidP="001F5998">
      <w:pPr>
        <w:spacing w:before="100" w:beforeAutospacing="1" w:after="100" w:afterAutospacing="1"/>
      </w:pPr>
      <w:proofErr w:type="spellStart"/>
      <w:r w:rsidRPr="001F5998">
        <w:t>Tienungoon</w:t>
      </w:r>
      <w:proofErr w:type="spellEnd"/>
      <w:r w:rsidRPr="001F5998">
        <w:t xml:space="preserve"> S, </w:t>
      </w:r>
      <w:proofErr w:type="spellStart"/>
      <w:r w:rsidRPr="001F5998">
        <w:t>Ratkowsky</w:t>
      </w:r>
      <w:proofErr w:type="spellEnd"/>
      <w:r w:rsidRPr="001F5998">
        <w:t xml:space="preserve"> DA, </w:t>
      </w:r>
      <w:proofErr w:type="spellStart"/>
      <w:r w:rsidRPr="001F5998">
        <w:t>McMeekin</w:t>
      </w:r>
      <w:proofErr w:type="spellEnd"/>
      <w:r w:rsidRPr="001F5998">
        <w:t xml:space="preserve"> TA, Ross T. 2000. Growth limits of </w:t>
      </w:r>
      <w:r w:rsidRPr="001F5998">
        <w:rPr>
          <w:i/>
          <w:iCs/>
        </w:rPr>
        <w:t xml:space="preserve">Listeria </w:t>
      </w:r>
      <w:proofErr w:type="spellStart"/>
      <w:r w:rsidRPr="001F5998">
        <w:rPr>
          <w:i/>
          <w:iCs/>
        </w:rPr>
        <w:t>monocytogenes</w:t>
      </w:r>
      <w:proofErr w:type="spellEnd"/>
      <w:r w:rsidRPr="001F5998">
        <w:t xml:space="preserve"> as a function of temperature, pH, </w:t>
      </w:r>
      <w:proofErr w:type="spellStart"/>
      <w:r w:rsidRPr="001F5998">
        <w:t>NaCl</w:t>
      </w:r>
      <w:proofErr w:type="spellEnd"/>
      <w:r w:rsidRPr="001F5998">
        <w:t xml:space="preserve">, and lactic acid. </w:t>
      </w:r>
      <w:proofErr w:type="spellStart"/>
      <w:r w:rsidRPr="001F5998">
        <w:t>Appl</w:t>
      </w:r>
      <w:proofErr w:type="spellEnd"/>
      <w:r w:rsidRPr="001F5998">
        <w:t xml:space="preserve"> Environ </w:t>
      </w:r>
      <w:proofErr w:type="spellStart"/>
      <w:r w:rsidRPr="001F5998">
        <w:t>Microbiol</w:t>
      </w:r>
      <w:proofErr w:type="spellEnd"/>
      <w:r w:rsidRPr="001F5998">
        <w:t xml:space="preserve"> 66:4979-87.</w:t>
      </w:r>
    </w:p>
    <w:p w:rsidR="001F5998" w:rsidRPr="001F5998" w:rsidRDefault="001F5998" w:rsidP="001F5998">
      <w:pPr>
        <w:spacing w:before="100" w:beforeAutospacing="1" w:after="100" w:afterAutospacing="1"/>
      </w:pPr>
      <w:r w:rsidRPr="001F5998">
        <w:t xml:space="preserve">[USDA] U.S. Dept. of Agriculture, Agricultural Research Service, Eastern Regional Laboratory. </w:t>
      </w:r>
      <w:proofErr w:type="gramStart"/>
      <w:r w:rsidRPr="001F5998">
        <w:t>2001. USDA Pathogen Modeling Program Version 5.1.</w:t>
      </w:r>
      <w:proofErr w:type="gramEnd"/>
    </w:p>
    <w:p w:rsidR="001F5998" w:rsidRPr="001F5998" w:rsidRDefault="001F5998" w:rsidP="001F5998">
      <w:pPr>
        <w:spacing w:before="100" w:beforeAutospacing="1" w:after="100" w:afterAutospacing="1"/>
      </w:pPr>
    </w:p>
    <w:p w:rsidR="00B27DB5" w:rsidRDefault="00B27DB5"/>
    <w:sectPr w:rsidR="00B27D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E6B6A"/>
    <w:multiLevelType w:val="multilevel"/>
    <w:tmpl w:val="20E6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98"/>
    <w:rsid w:val="001F5998"/>
    <w:rsid w:val="0047483C"/>
    <w:rsid w:val="009E2866"/>
    <w:rsid w:val="00A4197A"/>
    <w:rsid w:val="00B2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1F599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F5998"/>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F59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998"/>
    <w:rPr>
      <w:b/>
      <w:bCs/>
      <w:kern w:val="36"/>
      <w:sz w:val="48"/>
      <w:szCs w:val="48"/>
    </w:rPr>
  </w:style>
  <w:style w:type="character" w:customStyle="1" w:styleId="Heading2Char">
    <w:name w:val="Heading 2 Char"/>
    <w:basedOn w:val="DefaultParagraphFont"/>
    <w:link w:val="Heading2"/>
    <w:uiPriority w:val="9"/>
    <w:rsid w:val="001F5998"/>
    <w:rPr>
      <w:b/>
      <w:bCs/>
      <w:sz w:val="36"/>
      <w:szCs w:val="36"/>
    </w:rPr>
  </w:style>
  <w:style w:type="character" w:customStyle="1" w:styleId="Heading3Char">
    <w:name w:val="Heading 3 Char"/>
    <w:basedOn w:val="DefaultParagraphFont"/>
    <w:link w:val="Heading3"/>
    <w:uiPriority w:val="9"/>
    <w:rsid w:val="001F5998"/>
    <w:rPr>
      <w:b/>
      <w:bCs/>
      <w:sz w:val="27"/>
      <w:szCs w:val="27"/>
    </w:rPr>
  </w:style>
  <w:style w:type="paragraph" w:styleId="NormalWeb">
    <w:name w:val="Normal (Web)"/>
    <w:basedOn w:val="Normal"/>
    <w:uiPriority w:val="99"/>
    <w:unhideWhenUsed/>
    <w:rsid w:val="001F5998"/>
    <w:pPr>
      <w:spacing w:before="100" w:beforeAutospacing="1" w:after="100" w:afterAutospacing="1"/>
    </w:pPr>
  </w:style>
  <w:style w:type="character" w:styleId="Strong">
    <w:name w:val="Strong"/>
    <w:basedOn w:val="DefaultParagraphFont"/>
    <w:uiPriority w:val="22"/>
    <w:qFormat/>
    <w:rsid w:val="001F5998"/>
    <w:rPr>
      <w:b/>
      <w:bCs/>
    </w:rPr>
  </w:style>
  <w:style w:type="character" w:styleId="Emphasis">
    <w:name w:val="Emphasis"/>
    <w:basedOn w:val="DefaultParagraphFont"/>
    <w:uiPriority w:val="20"/>
    <w:qFormat/>
    <w:rsid w:val="001F5998"/>
    <w:rPr>
      <w:i/>
      <w:iCs/>
    </w:rPr>
  </w:style>
  <w:style w:type="paragraph" w:styleId="BalloonText">
    <w:name w:val="Balloon Text"/>
    <w:basedOn w:val="Normal"/>
    <w:link w:val="BalloonTextChar"/>
    <w:rsid w:val="001F5998"/>
    <w:rPr>
      <w:rFonts w:ascii="Tahoma" w:hAnsi="Tahoma" w:cs="Tahoma"/>
      <w:sz w:val="16"/>
      <w:szCs w:val="16"/>
    </w:rPr>
  </w:style>
  <w:style w:type="character" w:customStyle="1" w:styleId="BalloonTextChar">
    <w:name w:val="Balloon Text Char"/>
    <w:basedOn w:val="DefaultParagraphFont"/>
    <w:link w:val="BalloonText"/>
    <w:rsid w:val="001F5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1F599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F5998"/>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F59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998"/>
    <w:rPr>
      <w:b/>
      <w:bCs/>
      <w:kern w:val="36"/>
      <w:sz w:val="48"/>
      <w:szCs w:val="48"/>
    </w:rPr>
  </w:style>
  <w:style w:type="character" w:customStyle="1" w:styleId="Heading2Char">
    <w:name w:val="Heading 2 Char"/>
    <w:basedOn w:val="DefaultParagraphFont"/>
    <w:link w:val="Heading2"/>
    <w:uiPriority w:val="9"/>
    <w:rsid w:val="001F5998"/>
    <w:rPr>
      <w:b/>
      <w:bCs/>
      <w:sz w:val="36"/>
      <w:szCs w:val="36"/>
    </w:rPr>
  </w:style>
  <w:style w:type="character" w:customStyle="1" w:styleId="Heading3Char">
    <w:name w:val="Heading 3 Char"/>
    <w:basedOn w:val="DefaultParagraphFont"/>
    <w:link w:val="Heading3"/>
    <w:uiPriority w:val="9"/>
    <w:rsid w:val="001F5998"/>
    <w:rPr>
      <w:b/>
      <w:bCs/>
      <w:sz w:val="27"/>
      <w:szCs w:val="27"/>
    </w:rPr>
  </w:style>
  <w:style w:type="paragraph" w:styleId="NormalWeb">
    <w:name w:val="Normal (Web)"/>
    <w:basedOn w:val="Normal"/>
    <w:uiPriority w:val="99"/>
    <w:unhideWhenUsed/>
    <w:rsid w:val="001F5998"/>
    <w:pPr>
      <w:spacing w:before="100" w:beforeAutospacing="1" w:after="100" w:afterAutospacing="1"/>
    </w:pPr>
  </w:style>
  <w:style w:type="character" w:styleId="Strong">
    <w:name w:val="Strong"/>
    <w:basedOn w:val="DefaultParagraphFont"/>
    <w:uiPriority w:val="22"/>
    <w:qFormat/>
    <w:rsid w:val="001F5998"/>
    <w:rPr>
      <w:b/>
      <w:bCs/>
    </w:rPr>
  </w:style>
  <w:style w:type="character" w:styleId="Emphasis">
    <w:name w:val="Emphasis"/>
    <w:basedOn w:val="DefaultParagraphFont"/>
    <w:uiPriority w:val="20"/>
    <w:qFormat/>
    <w:rsid w:val="001F5998"/>
    <w:rPr>
      <w:i/>
      <w:iCs/>
    </w:rPr>
  </w:style>
  <w:style w:type="paragraph" w:styleId="BalloonText">
    <w:name w:val="Balloon Text"/>
    <w:basedOn w:val="Normal"/>
    <w:link w:val="BalloonTextChar"/>
    <w:rsid w:val="001F5998"/>
    <w:rPr>
      <w:rFonts w:ascii="Tahoma" w:hAnsi="Tahoma" w:cs="Tahoma"/>
      <w:sz w:val="16"/>
      <w:szCs w:val="16"/>
    </w:rPr>
  </w:style>
  <w:style w:type="character" w:customStyle="1" w:styleId="BalloonTextChar">
    <w:name w:val="Balloon Text Char"/>
    <w:basedOn w:val="DefaultParagraphFont"/>
    <w:link w:val="BalloonText"/>
    <w:rsid w:val="001F5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79010">
      <w:bodyDiv w:val="1"/>
      <w:marLeft w:val="0"/>
      <w:marRight w:val="0"/>
      <w:marTop w:val="0"/>
      <w:marBottom w:val="0"/>
      <w:divBdr>
        <w:top w:val="none" w:sz="0" w:space="0" w:color="auto"/>
        <w:left w:val="none" w:sz="0" w:space="0" w:color="auto"/>
        <w:bottom w:val="none" w:sz="0" w:space="0" w:color="auto"/>
        <w:right w:val="none" w:sz="0" w:space="0" w:color="auto"/>
      </w:divBdr>
      <w:divsChild>
        <w:div w:id="205914586">
          <w:marLeft w:val="0"/>
          <w:marRight w:val="0"/>
          <w:marTop w:val="0"/>
          <w:marBottom w:val="0"/>
          <w:divBdr>
            <w:top w:val="none" w:sz="0" w:space="0" w:color="auto"/>
            <w:left w:val="none" w:sz="0" w:space="0" w:color="auto"/>
            <w:bottom w:val="none" w:sz="0" w:space="0" w:color="auto"/>
            <w:right w:val="none" w:sz="0" w:space="0" w:color="auto"/>
          </w:divBdr>
          <w:divsChild>
            <w:div w:id="1853565865">
              <w:marLeft w:val="0"/>
              <w:marRight w:val="0"/>
              <w:marTop w:val="0"/>
              <w:marBottom w:val="0"/>
              <w:divBdr>
                <w:top w:val="none" w:sz="0" w:space="0" w:color="auto"/>
                <w:left w:val="none" w:sz="0" w:space="0" w:color="auto"/>
                <w:bottom w:val="none" w:sz="0" w:space="0" w:color="auto"/>
                <w:right w:val="none" w:sz="0" w:space="0" w:color="auto"/>
              </w:divBdr>
              <w:divsChild>
                <w:div w:id="624770645">
                  <w:marLeft w:val="0"/>
                  <w:marRight w:val="0"/>
                  <w:marTop w:val="0"/>
                  <w:marBottom w:val="0"/>
                  <w:divBdr>
                    <w:top w:val="none" w:sz="0" w:space="0" w:color="auto"/>
                    <w:left w:val="none" w:sz="0" w:space="0" w:color="auto"/>
                    <w:bottom w:val="none" w:sz="0" w:space="0" w:color="auto"/>
                    <w:right w:val="none" w:sz="0" w:space="0" w:color="auto"/>
                  </w:divBdr>
                  <w:divsChild>
                    <w:div w:id="785388566">
                      <w:marLeft w:val="0"/>
                      <w:marRight w:val="0"/>
                      <w:marTop w:val="0"/>
                      <w:marBottom w:val="0"/>
                      <w:divBdr>
                        <w:top w:val="none" w:sz="0" w:space="0" w:color="auto"/>
                        <w:left w:val="none" w:sz="0" w:space="0" w:color="auto"/>
                        <w:bottom w:val="none" w:sz="0" w:space="0" w:color="auto"/>
                        <w:right w:val="none" w:sz="0" w:space="0" w:color="auto"/>
                      </w:divBdr>
                      <w:divsChild>
                        <w:div w:id="735980566">
                          <w:marLeft w:val="0"/>
                          <w:marRight w:val="0"/>
                          <w:marTop w:val="0"/>
                          <w:marBottom w:val="0"/>
                          <w:divBdr>
                            <w:top w:val="none" w:sz="0" w:space="0" w:color="auto"/>
                            <w:left w:val="none" w:sz="0" w:space="0" w:color="auto"/>
                            <w:bottom w:val="none" w:sz="0" w:space="0" w:color="auto"/>
                            <w:right w:val="none" w:sz="0" w:space="0" w:color="auto"/>
                          </w:divBdr>
                        </w:div>
                        <w:div w:id="4525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1237</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deymard</dc:creator>
  <cp:lastModifiedBy>deymard</cp:lastModifiedBy>
  <cp:revision>2</cp:revision>
  <dcterms:created xsi:type="dcterms:W3CDTF">2012-10-19T15:40:00Z</dcterms:created>
  <dcterms:modified xsi:type="dcterms:W3CDTF">2012-10-19T15:41:00Z</dcterms:modified>
</cp:coreProperties>
</file>